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Introduction: The concept of Inner Asia</w:t>
      </w:r>
    </w:p>
    <w:p>
      <w:r>
        <w:drawing>
          <wp:inline xmlns:a="http://schemas.openxmlformats.org/drawingml/2006/main" xmlns:pic="http://schemas.openxmlformats.org/drawingml/2006/picture">
            <wp:extent cx="25847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inor1990.df-med-img.8796db86-b526-4e7c-bcdf-d8f025ed82f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8796db86-b526-4e7c-bcdf-d8f025ed82f6</w:t>
      </w:r>
    </w:p>
    <w:p>
      <w:pPr>
        <w:pStyle w:val="Heading3"/>
      </w:pPr>
      <w:r>
        <w:t>creator</w:t>
      </w:r>
    </w:p>
    <w:p>
      <w:r>
        <w:t>Sinor, Denis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Inner Asia</w:t>
      </w:r>
    </w:p>
    <w:p>
      <w:pPr>
        <w:pStyle w:val="Heading3"/>
      </w:pPr>
      <w:r>
        <w:t>description</w:t>
      </w:r>
    </w:p>
    <w:p>
      <w:r>
        <w:t>If the continents of Europe and Asia are conceptual entities, Eurasia - the combined land mass of the two - is a physiogeographical one. Each of the sedentary civilizations - in loose terminology Europe, the Middle East, India, Southeast Asia and East Asia - is a unique combination of cultural features. Some of these may appear in more than one area; yet an association of various components, moulded by a unique historical process and greatly influenced by national environment, made each of these regions different from the others. The frontier of Inner Asia is unstable; it has varied from age to age, shifting according to the balance of power between its own population and that of the surrounding, sedentary civilizations. The military efficiency of a nomad cavalry force was a function of its size, but the relationship between the number of horses and their military value was not a mathematical constant but a geometric progression.</w:t>
      </w:r>
    </w:p>
    <w:p>
      <w:pPr>
        <w:pStyle w:val="Heading3"/>
      </w:pPr>
      <w:r>
        <w:t>publisher</w:t>
      </w:r>
    </w:p>
    <w:p>
      <w:r>
        <w:t>Cambridge University Press</w:t>
      </w:r>
    </w:p>
    <w:p>
      <w:pPr>
        <w:pStyle w:val="Heading3"/>
      </w:pPr>
      <w:r>
        <w:t>source</w:t>
      </w:r>
    </w:p>
    <w:p>
      <w:r>
        <w:t>&lt;https://doi.org/10.1017/CHOL9780521243049.002&gt;</w:t>
      </w:r>
    </w:p>
    <w:p>
      <w:r>
        <w:t>Sinor, Denis, ed. The Cambridge history of early Inner Asia. Vol. 1. Cambridge University Press, 1990.</w:t>
      </w:r>
    </w:p>
    <w:p>
      <w:pPr>
        <w:pStyle w:val="Heading3"/>
      </w:pPr>
      <w:r>
        <w:t>rights</w:t>
      </w:r>
    </w:p>
    <w:p>
      <w:r>
        <w:t>Copyright Cambridge University Press</w:t>
      </w:r>
    </w:p>
    <w:p>
      <w:pPr>
        <w:pStyle w:val="Heading3"/>
      </w:pPr>
      <w:r>
        <w:t>subject</w:t>
      </w:r>
    </w:p>
    <w:p>
      <w:r>
        <w:t>Inner Asia</w:t>
      </w:r>
    </w:p>
    <w:p>
      <w:r>
        <w:t>cultural ecology</w:t>
      </w:r>
    </w:p>
    <w:p>
      <w:r>
        <w:t>history</w:t>
      </w:r>
    </w:p>
    <w:p>
      <w:pPr>
        <w:pStyle w:val="Heading3"/>
      </w:pPr>
      <w:r>
        <w:t>date</w:t>
      </w:r>
    </w:p>
    <w:p>
      <w:r>
        <w:t>1990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original filename</w:t>
      </w:r>
    </w:p>
    <w:p>
      <w:r>
        <w:t>Sinor1990.pdf</w:t>
      </w:r>
    </w:p>
    <w:p>
      <w:pPr>
        <w:pStyle w:val="Heading3"/>
      </w:pPr>
      <w:r>
        <w:t>extent</w:t>
      </w:r>
    </w:p>
    <w:p>
      <w:r>
        <w:t>1.4 MiB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modified</w:t>
      </w:r>
    </w:p>
    <w:p>
      <w:r>
        <w:t>2013-02-06 05:48:29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2018-03-16T21:41:07Z</dcterms:modified>
  <cp:revision>10</cp:revision>
  <dc:subject/>
  <dc:title>8796db86-b526-4e7c-bcdf-d8f025ed82f6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