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collective farms after Socialism</w:t>
      </w:r>
    </w:p>
    <w:p>
      <w:r>
        <w:drawing>
          <wp:inline xmlns:a="http://schemas.openxmlformats.org/drawingml/2006/main" xmlns:pic="http://schemas.openxmlformats.org/drawingml/2006/picture">
            <wp:extent cx="282854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h-9-extract.df-med-img.c2b96d9c-5f3a-49d9-950d-7cf44caf7f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2854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c2b96d9c-5f3a-49d9-950d-7cf44caf7f20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Extract from “Karl Marx Collective”.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Caroline Humphrey, Marx Went Away – but Karl Stayed Behind (1998), pp. 444–446.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2017-05-26 05:24:25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ch-9-extract.docx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12.5KiB</w:t>
      </w:r>
    </w:p>
    <w:p>
      <w:pPr>
        <w:pStyle w:val="Heading3"/>
      </w:pPr>
      <w:r>
        <w:t>format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